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226C" w:rsidRDefault="004A344F" w:rsidP="004A344F">
      <w:pPr>
        <w:jc w:val="center"/>
        <w:rPr>
          <w:b/>
        </w:rPr>
      </w:pPr>
      <w:r>
        <w:rPr>
          <w:b/>
        </w:rPr>
        <w:t>Was opposition to Nazi rule completely ineffective?</w:t>
      </w:r>
    </w:p>
    <w:p w:rsidR="004A344F" w:rsidRDefault="004A344F" w:rsidP="004A344F">
      <w:r>
        <w:t>Nazi Germany, Key Topic 3, lesson 8</w:t>
      </w:r>
      <w:r>
        <w:tab/>
      </w:r>
      <w:r>
        <w:tab/>
      </w:r>
      <w:r>
        <w:tab/>
        <w:t>Name: ___________________</w:t>
      </w:r>
    </w:p>
    <w:p w:rsidR="004A344F" w:rsidRDefault="004A344F" w:rsidP="004A344F">
      <w:pPr>
        <w:rPr>
          <w:b/>
        </w:rPr>
      </w:pPr>
      <w:r>
        <w:rPr>
          <w:b/>
        </w:rPr>
        <w:t xml:space="preserve">Use the relevant webpage at </w:t>
      </w:r>
      <w:hyperlink r:id="rId4" w:history="1">
        <w:r w:rsidRPr="00E773F4">
          <w:rPr>
            <w:rStyle w:val="Hyperlink"/>
            <w:b/>
          </w:rPr>
          <w:t>www.mrluptonhistory.co.uk</w:t>
        </w:r>
      </w:hyperlink>
      <w:r>
        <w:rPr>
          <w:b/>
        </w:rPr>
        <w:t xml:space="preserve"> to help you answer the questions for today’s lesson.</w:t>
      </w:r>
    </w:p>
    <w:p w:rsidR="004A344F" w:rsidRDefault="004A344F" w:rsidP="004A344F">
      <w:pPr>
        <w:rPr>
          <w:b/>
        </w:rPr>
      </w:pPr>
    </w:p>
    <w:tbl>
      <w:tblPr>
        <w:tblStyle w:val="TableGrid"/>
        <w:tblW w:w="0" w:type="auto"/>
        <w:tblLook w:val="04A0" w:firstRow="1" w:lastRow="0" w:firstColumn="1" w:lastColumn="0" w:noHBand="0" w:noVBand="1"/>
      </w:tblPr>
      <w:tblGrid>
        <w:gridCol w:w="10456"/>
      </w:tblGrid>
      <w:tr w:rsidR="004A344F" w:rsidTr="004A344F">
        <w:tc>
          <w:tcPr>
            <w:tcW w:w="10456" w:type="dxa"/>
          </w:tcPr>
          <w:p w:rsidR="004A344F" w:rsidRDefault="004A344F" w:rsidP="004A344F">
            <w:r w:rsidRPr="004A344F">
              <w:rPr>
                <w:b/>
                <w:bCs/>
              </w:rPr>
              <w:t>STARTER</w:t>
            </w:r>
            <w:proofErr w:type="gramStart"/>
            <w:r w:rsidRPr="004A344F">
              <w:rPr>
                <w:b/>
                <w:bCs/>
              </w:rPr>
              <w:t>:</w:t>
            </w:r>
            <w:proofErr w:type="gramEnd"/>
            <w:r w:rsidRPr="004A344F">
              <w:br/>
              <w:t>Look at the continuum lines below. Place a cross on each one to show how effective you feel each form of resistance was to the Nazi regime.</w:t>
            </w:r>
          </w:p>
        </w:tc>
      </w:tr>
    </w:tbl>
    <w:p w:rsidR="004A344F" w:rsidRDefault="004A344F" w:rsidP="004A344F"/>
    <w:p w:rsidR="004A344F" w:rsidRDefault="004A344F" w:rsidP="004A344F">
      <w:r>
        <w:rPr>
          <w:noProof/>
          <w:lang w:eastAsia="en-GB"/>
        </w:rPr>
        <w:drawing>
          <wp:inline distT="0" distB="0" distL="0" distR="0">
            <wp:extent cx="6645910" cy="4257536"/>
            <wp:effectExtent l="0" t="0" r="2540" b="0"/>
            <wp:docPr id="1" name="Picture 1" descr="This image has an empty alt attribute; its file name is resistance-contiuum-l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is image has an empty alt attribute; its file name is resistance-contiuum-line.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4257536"/>
                    </a:xfrm>
                    <a:prstGeom prst="rect">
                      <a:avLst/>
                    </a:prstGeom>
                    <a:noFill/>
                    <a:ln>
                      <a:noFill/>
                    </a:ln>
                  </pic:spPr>
                </pic:pic>
              </a:graphicData>
            </a:graphic>
          </wp:inline>
        </w:drawing>
      </w:r>
    </w:p>
    <w:p w:rsidR="004A344F" w:rsidRDefault="004A344F" w:rsidP="004A344F"/>
    <w:tbl>
      <w:tblPr>
        <w:tblStyle w:val="TableGrid"/>
        <w:tblW w:w="0" w:type="auto"/>
        <w:tblLook w:val="04A0" w:firstRow="1" w:lastRow="0" w:firstColumn="1" w:lastColumn="0" w:noHBand="0" w:noVBand="1"/>
      </w:tblPr>
      <w:tblGrid>
        <w:gridCol w:w="10456"/>
      </w:tblGrid>
      <w:tr w:rsidR="004A344F" w:rsidTr="004A344F">
        <w:tc>
          <w:tcPr>
            <w:tcW w:w="10456" w:type="dxa"/>
          </w:tcPr>
          <w:p w:rsidR="004A344F" w:rsidRDefault="004A344F" w:rsidP="004A344F">
            <w:r w:rsidRPr="004A344F">
              <w:rPr>
                <w:b/>
                <w:bCs/>
              </w:rPr>
              <w:t>TASK ONE: Differences between interpretations.</w:t>
            </w:r>
            <w:r w:rsidRPr="004A344F">
              <w:br/>
            </w:r>
            <w:r w:rsidRPr="004A344F">
              <w:br/>
            </w:r>
            <w:r>
              <w:t>Look</w:t>
            </w:r>
            <w:r w:rsidRPr="004A344F">
              <w:t xml:space="preserve"> at the two interpretations we are working with today</w:t>
            </w:r>
            <w:r>
              <w:t xml:space="preserve"> on the webpage</w:t>
            </w:r>
            <w:r w:rsidRPr="004A344F">
              <w:t>. They give different views about the effectiveness of the resistance from the German Churches.</w:t>
            </w:r>
            <w:r w:rsidRPr="004A344F">
              <w:br/>
            </w:r>
            <w:r w:rsidRPr="004A344F">
              <w:br/>
            </w:r>
            <w:r w:rsidRPr="004A344F">
              <w:rPr>
                <w:b/>
                <w:bCs/>
              </w:rPr>
              <w:t>What is the main difference between these views?</w:t>
            </w:r>
            <w:r w:rsidRPr="004A344F">
              <w:t xml:space="preserve"> (In other words, what </w:t>
            </w:r>
            <w:proofErr w:type="gramStart"/>
            <w:r w:rsidRPr="004A344F">
              <w:t>don't</w:t>
            </w:r>
            <w:proofErr w:type="gramEnd"/>
            <w:r w:rsidRPr="004A344F">
              <w:t xml:space="preserve"> the interpretations agree on?).</w:t>
            </w:r>
            <w:r w:rsidRPr="004A344F">
              <w:br/>
            </w:r>
          </w:p>
        </w:tc>
      </w:tr>
    </w:tbl>
    <w:p w:rsidR="004A344F" w:rsidRDefault="004A344F" w:rsidP="004A344F"/>
    <w:p w:rsidR="004A344F" w:rsidRDefault="004A344F" w:rsidP="004A344F">
      <w:r>
        <w:t>ANSWER:</w:t>
      </w:r>
    </w:p>
    <w:p w:rsidR="004A344F" w:rsidRDefault="004A344F" w:rsidP="004A344F">
      <w:pPr>
        <w:rPr>
          <w:i/>
          <w:iCs/>
        </w:rPr>
      </w:pPr>
      <w:r w:rsidRPr="004A344F">
        <w:rPr>
          <w:i/>
          <w:iCs/>
        </w:rPr>
        <w:t>Interpretation 1 argues...</w:t>
      </w:r>
      <w:r w:rsidRPr="004A344F">
        <w:br/>
      </w:r>
      <w:r w:rsidRPr="004A344F">
        <w:rPr>
          <w:i/>
          <w:iCs/>
        </w:rPr>
        <w:t>A detail in the source that shows me this is...</w:t>
      </w:r>
      <w:r w:rsidRPr="004A344F">
        <w:br/>
      </w:r>
      <w:r w:rsidRPr="004A344F">
        <w:rPr>
          <w:i/>
          <w:iCs/>
        </w:rPr>
        <w:t>On the other hand, Interpretation 2 argues...</w:t>
      </w:r>
      <w:r w:rsidRPr="004A344F">
        <w:br/>
      </w:r>
      <w:r w:rsidRPr="004A344F">
        <w:rPr>
          <w:i/>
          <w:iCs/>
        </w:rPr>
        <w:t>A detail in the source that shows me this is...</w:t>
      </w:r>
    </w:p>
    <w:p w:rsidR="004A344F" w:rsidRDefault="004A344F" w:rsidP="004A344F">
      <w:pPr>
        <w:rPr>
          <w:iCs/>
        </w:rPr>
      </w:pPr>
    </w:p>
    <w:tbl>
      <w:tblPr>
        <w:tblStyle w:val="TableGrid"/>
        <w:tblW w:w="0" w:type="auto"/>
        <w:tblLook w:val="04A0" w:firstRow="1" w:lastRow="0" w:firstColumn="1" w:lastColumn="0" w:noHBand="0" w:noVBand="1"/>
      </w:tblPr>
      <w:tblGrid>
        <w:gridCol w:w="10456"/>
      </w:tblGrid>
      <w:tr w:rsidR="004A344F" w:rsidTr="004A344F">
        <w:tc>
          <w:tcPr>
            <w:tcW w:w="10456" w:type="dxa"/>
          </w:tcPr>
          <w:p w:rsidR="004A344F" w:rsidRDefault="004A344F" w:rsidP="004A344F">
            <w:pPr>
              <w:rPr>
                <w:b/>
                <w:bCs/>
              </w:rPr>
            </w:pPr>
            <w:r w:rsidRPr="004A344F">
              <w:rPr>
                <w:b/>
                <w:bCs/>
              </w:rPr>
              <w:lastRenderedPageBreak/>
              <w:t>TASK TWO: What affect does language in historical interpretations have?</w:t>
            </w:r>
            <w:r w:rsidRPr="004A344F">
              <w:br/>
            </w:r>
            <w:r w:rsidRPr="004A344F">
              <w:br/>
              <w:t xml:space="preserve">One thing that we </w:t>
            </w:r>
            <w:proofErr w:type="gramStart"/>
            <w:r w:rsidRPr="004A344F">
              <w:t>haven't</w:t>
            </w:r>
            <w:proofErr w:type="gramEnd"/>
            <w:r w:rsidRPr="004A344F">
              <w:t xml:space="preserve"> looked at yet is </w:t>
            </w:r>
            <w:r w:rsidRPr="004A344F">
              <w:rPr>
                <w:b/>
                <w:bCs/>
              </w:rPr>
              <w:t>language</w:t>
            </w:r>
            <w:r w:rsidRPr="004A344F">
              <w:t xml:space="preserve"> </w:t>
            </w:r>
            <w:r w:rsidRPr="004A344F">
              <w:rPr>
                <w:b/>
                <w:bCs/>
              </w:rPr>
              <w:t>used</w:t>
            </w:r>
            <w:r w:rsidRPr="004A344F">
              <w:t xml:space="preserve"> within historical interpretations. This can be a </w:t>
            </w:r>
            <w:proofErr w:type="gramStart"/>
            <w:r w:rsidRPr="004A344F">
              <w:t>really useful</w:t>
            </w:r>
            <w:proofErr w:type="gramEnd"/>
            <w:r w:rsidRPr="004A344F">
              <w:t xml:space="preserve"> tool for understanding interpretations, and can really aid your 16-mark writing in the Nazi Germany paper. </w:t>
            </w:r>
            <w:proofErr w:type="gramStart"/>
            <w:r w:rsidRPr="004A344F">
              <w:t>It's</w:t>
            </w:r>
            <w:proofErr w:type="gramEnd"/>
            <w:r w:rsidRPr="004A344F">
              <w:t xml:space="preserve"> just like doing poetry work in English.</w:t>
            </w:r>
            <w:r w:rsidRPr="004A344F">
              <w:br/>
            </w:r>
            <w:r w:rsidRPr="004A344F">
              <w:br/>
              <w:t xml:space="preserve">Watch the video </w:t>
            </w:r>
            <w:r>
              <w:t>on the webpage</w:t>
            </w:r>
            <w:r w:rsidRPr="004A344F">
              <w:t xml:space="preserve"> and then answer the following question</w:t>
            </w:r>
            <w:proofErr w:type="gramStart"/>
            <w:r w:rsidRPr="004A344F">
              <w:t>:</w:t>
            </w:r>
            <w:proofErr w:type="gramEnd"/>
            <w:r w:rsidRPr="004A344F">
              <w:br/>
            </w:r>
            <w:r w:rsidRPr="004A344F">
              <w:br/>
            </w:r>
            <w:r w:rsidRPr="004A344F">
              <w:rPr>
                <w:b/>
                <w:bCs/>
              </w:rPr>
              <w:t>How does the language used in Interpretation 1 help the historian's overall argument?</w:t>
            </w:r>
          </w:p>
          <w:p w:rsidR="004A344F" w:rsidRDefault="004A344F" w:rsidP="004A344F"/>
        </w:tc>
      </w:tr>
    </w:tbl>
    <w:p w:rsidR="004A344F" w:rsidRDefault="004A344F" w:rsidP="004A344F"/>
    <w:p w:rsidR="004A344F" w:rsidRDefault="004A344F" w:rsidP="004A344F">
      <w:r>
        <w:t>EXAMPLE: (How does the language used in Interpretation 2 help the historian’s overall argument?)</w:t>
      </w:r>
    </w:p>
    <w:p w:rsidR="004A344F" w:rsidRDefault="003021BD" w:rsidP="004A344F">
      <w:pPr>
        <w:rPr>
          <w:color w:val="0070C0"/>
        </w:rPr>
      </w:pPr>
      <w:r>
        <w:rPr>
          <w:color w:val="C00000"/>
        </w:rPr>
        <w:t>Interpretation 2</w:t>
      </w:r>
      <w:bookmarkStart w:id="0" w:name="_GoBack"/>
      <w:bookmarkEnd w:id="0"/>
      <w:r w:rsidR="004A344F" w:rsidRPr="004A344F">
        <w:rPr>
          <w:color w:val="C00000"/>
        </w:rPr>
        <w:t xml:space="preserve"> argues that the effectiveness of the German church resistance was extremely limited in Nazi Germany. Kershaw’s use of language helps to solidify this argument. </w:t>
      </w:r>
      <w:r w:rsidR="004A344F" w:rsidRPr="004A344F">
        <w:rPr>
          <w:color w:val="0070C0"/>
        </w:rPr>
        <w:t xml:space="preserve">He explains that the churches sat by and watched as the Nazi Party carried out their ‘inhumanity and barbarism’. This makes resistance from the Church seem particularly </w:t>
      </w:r>
      <w:proofErr w:type="gramStart"/>
      <w:r w:rsidR="004A344F" w:rsidRPr="004A344F">
        <w:rPr>
          <w:color w:val="0070C0"/>
        </w:rPr>
        <w:t>weak</w:t>
      </w:r>
      <w:proofErr w:type="gramEnd"/>
      <w:r w:rsidR="004A344F" w:rsidRPr="004A344F">
        <w:rPr>
          <w:color w:val="0070C0"/>
        </w:rPr>
        <w:t xml:space="preserve"> as these are principles we would expect the Church to speak out against. Moreover, he explains that they failed to impose any ‘vigorous’ attempt to oppose the Nazis. This suggests that any opposition that the Church did make was inconsistent, and therefore extremely ineffective.</w:t>
      </w:r>
    </w:p>
    <w:p w:rsidR="004A344F" w:rsidRDefault="004A344F" w:rsidP="004A344F">
      <w:r>
        <w:t>ANSWER:</w:t>
      </w:r>
    </w:p>
    <w:p w:rsidR="004A344F" w:rsidRDefault="004A344F" w:rsidP="004A344F"/>
    <w:p w:rsidR="004A344F" w:rsidRDefault="004A344F" w:rsidP="004A344F"/>
    <w:tbl>
      <w:tblPr>
        <w:tblStyle w:val="TableGrid"/>
        <w:tblW w:w="0" w:type="auto"/>
        <w:tblLook w:val="04A0" w:firstRow="1" w:lastRow="0" w:firstColumn="1" w:lastColumn="0" w:noHBand="0" w:noVBand="1"/>
      </w:tblPr>
      <w:tblGrid>
        <w:gridCol w:w="10456"/>
      </w:tblGrid>
      <w:tr w:rsidR="004A344F" w:rsidTr="004A344F">
        <w:tc>
          <w:tcPr>
            <w:tcW w:w="10456" w:type="dxa"/>
          </w:tcPr>
          <w:p w:rsidR="004A344F" w:rsidRDefault="004A344F" w:rsidP="004A344F">
            <w:r w:rsidRPr="004A344F">
              <w:rPr>
                <w:b/>
                <w:bCs/>
              </w:rPr>
              <w:t>TASK THREE: How far do you agree with Interpretation 2 about the impact of opposition towards the Nazi Party? [16 marks]</w:t>
            </w:r>
            <w:r w:rsidRPr="004A344F">
              <w:br/>
            </w:r>
            <w:r w:rsidRPr="004A344F">
              <w:br/>
              <w:t xml:space="preserve">This is a 16-mark style question in the Nazi Germany paper, and I feel like we can make </w:t>
            </w:r>
            <w:proofErr w:type="gramStart"/>
            <w:r w:rsidRPr="004A344F">
              <w:t>a lot of</w:t>
            </w:r>
            <w:proofErr w:type="gramEnd"/>
            <w:r w:rsidRPr="004A344F">
              <w:t xml:space="preserve"> improvements here as a class. </w:t>
            </w:r>
            <w:proofErr w:type="gramStart"/>
            <w:r w:rsidRPr="004A344F">
              <w:t>Let's</w:t>
            </w:r>
            <w:proofErr w:type="gramEnd"/>
            <w:r w:rsidRPr="004A344F">
              <w:t xml:space="preserve"> use what we've already done in this lesson to help us answer this question.</w:t>
            </w:r>
            <w:r w:rsidRPr="004A344F">
              <w:br/>
            </w:r>
            <w:r w:rsidRPr="004A344F">
              <w:br/>
            </w:r>
            <w:r w:rsidRPr="004A344F">
              <w:rPr>
                <w:b/>
                <w:bCs/>
              </w:rPr>
              <w:t xml:space="preserve">Watch the video and follow the structure </w:t>
            </w:r>
            <w:r>
              <w:rPr>
                <w:b/>
                <w:bCs/>
              </w:rPr>
              <w:t>on the webpage</w:t>
            </w:r>
            <w:r w:rsidRPr="004A344F">
              <w:rPr>
                <w:b/>
                <w:bCs/>
              </w:rPr>
              <w:t xml:space="preserve"> carefully to help you answer the question.</w:t>
            </w:r>
            <w:r w:rsidRPr="004A344F">
              <w:br/>
            </w:r>
            <w:r w:rsidRPr="004A344F">
              <w:br/>
            </w:r>
            <w:r>
              <w:t>Half of the question if completed for you below.</w:t>
            </w:r>
          </w:p>
        </w:tc>
      </w:tr>
    </w:tbl>
    <w:p w:rsidR="004A344F" w:rsidRDefault="004A344F" w:rsidP="004A344F"/>
    <w:p w:rsidR="004A344F" w:rsidRDefault="004A344F" w:rsidP="004A344F">
      <w:r>
        <w:t xml:space="preserve">PARAGRAPH 1: </w:t>
      </w:r>
    </w:p>
    <w:p w:rsidR="004A344F" w:rsidRDefault="004A344F" w:rsidP="004A344F">
      <w:pPr>
        <w:rPr>
          <w:color w:val="4472C4" w:themeColor="accent5"/>
        </w:rPr>
      </w:pPr>
      <w:r w:rsidRPr="004A344F">
        <w:rPr>
          <w:color w:val="C00000"/>
        </w:rPr>
        <w:t>Interpretation 2 argues that the effectiveness of the German church resistance was extremely limited in Nazi Germany. This is shown in the interpretation as Kershaw explains that the Churches were more preoccupied by their defence of their ‘traditional practices’ rather than by defending German freedoms.</w:t>
      </w:r>
      <w:r w:rsidRPr="004A344F">
        <w:t xml:space="preserve"> </w:t>
      </w:r>
      <w:r w:rsidRPr="004A344F">
        <w:rPr>
          <w:color w:val="00B050"/>
        </w:rPr>
        <w:t xml:space="preserve">This view </w:t>
      </w:r>
      <w:proofErr w:type="gramStart"/>
      <w:r w:rsidRPr="004A344F">
        <w:rPr>
          <w:color w:val="00B050"/>
        </w:rPr>
        <w:t>can be supported</w:t>
      </w:r>
      <w:proofErr w:type="gramEnd"/>
      <w:r w:rsidRPr="004A344F">
        <w:rPr>
          <w:color w:val="00B050"/>
        </w:rPr>
        <w:t xml:space="preserve"> by the fact that most pastors and priests made deals with the Nazi Party. Catholic Priests swore allegiance to the Nazi Party to keep their Church safe, whilst many Protestant pastors joined the Reich Church. This shows that the Church allowed the Nazi Party to make changes easily to German society. </w:t>
      </w:r>
      <w:r w:rsidRPr="004A344F">
        <w:rPr>
          <w:color w:val="4472C4" w:themeColor="accent5"/>
        </w:rPr>
        <w:t xml:space="preserve">Additionally, Kershaw’s use of language helps to solidify this argument. He explains that the churches sat by and watched as the Nazi Party carried out their ‘inhumanity and barbarism’. This makes resistance from the Church seem particularly </w:t>
      </w:r>
      <w:proofErr w:type="gramStart"/>
      <w:r w:rsidRPr="004A344F">
        <w:rPr>
          <w:color w:val="4472C4" w:themeColor="accent5"/>
        </w:rPr>
        <w:t>weak</w:t>
      </w:r>
      <w:proofErr w:type="gramEnd"/>
      <w:r w:rsidRPr="004A344F">
        <w:rPr>
          <w:color w:val="4472C4" w:themeColor="accent5"/>
        </w:rPr>
        <w:t xml:space="preserve"> as these are principles we would expect the Church to speak out against. Moreover, he explains that they failed to impose any ‘vigorous’ attempt to oppose the Nazis. This suggests that any opposition that the Church did make was inconsistent, and therefore extremely ineffective.</w:t>
      </w:r>
    </w:p>
    <w:p w:rsidR="00AD5B5F" w:rsidRDefault="00AD5B5F" w:rsidP="004A344F">
      <w:r>
        <w:t>PARAGRAPH 2:</w:t>
      </w:r>
    </w:p>
    <w:p w:rsidR="00AD5B5F" w:rsidRPr="00AD5B5F" w:rsidRDefault="00AD5B5F" w:rsidP="00AD5B5F">
      <w:pPr>
        <w:pStyle w:val="NormalWeb"/>
        <w:spacing w:before="200" w:beforeAutospacing="0" w:after="0" w:afterAutospacing="0" w:line="276" w:lineRule="auto"/>
        <w:rPr>
          <w:rFonts w:ascii="Bookman Old Style" w:hAnsi="Bookman Old Style"/>
          <w:sz w:val="22"/>
          <w:szCs w:val="22"/>
        </w:rPr>
      </w:pPr>
      <w:r w:rsidRPr="00AD5B5F">
        <w:rPr>
          <w:rFonts w:ascii="Bookman Old Style" w:eastAsia="+mn-ea" w:hAnsi="Bookman Old Style" w:cs="+mn-cs"/>
          <w:color w:val="B74919"/>
          <w:kern w:val="24"/>
          <w:sz w:val="22"/>
          <w:szCs w:val="22"/>
        </w:rPr>
        <w:lastRenderedPageBreak/>
        <w:t xml:space="preserve">Furthermore, one may agree with Interpretation </w:t>
      </w:r>
      <w:proofErr w:type="gramStart"/>
      <w:r w:rsidRPr="00AD5B5F">
        <w:rPr>
          <w:rFonts w:ascii="Bookman Old Style" w:eastAsia="+mn-ea" w:hAnsi="Bookman Old Style" w:cs="+mn-cs"/>
          <w:color w:val="B74919"/>
          <w:kern w:val="24"/>
          <w:sz w:val="22"/>
          <w:szCs w:val="22"/>
        </w:rPr>
        <w:t>2</w:t>
      </w:r>
      <w:proofErr w:type="gramEnd"/>
      <w:r w:rsidRPr="00AD5B5F">
        <w:rPr>
          <w:rFonts w:ascii="Bookman Old Style" w:eastAsia="+mn-ea" w:hAnsi="Bookman Old Style" w:cs="+mn-cs"/>
          <w:color w:val="B74919"/>
          <w:kern w:val="24"/>
          <w:sz w:val="22"/>
          <w:szCs w:val="22"/>
        </w:rPr>
        <w:t xml:space="preserve"> as it is consistent with my own knowledge. </w:t>
      </w:r>
      <w:r w:rsidRPr="00AD5B5F">
        <w:rPr>
          <w:rFonts w:ascii="Bookman Old Style" w:eastAsia="+mn-ea" w:hAnsi="Bookman Old Style" w:cs="+mn-cs"/>
          <w:color w:val="1D9A78"/>
          <w:kern w:val="24"/>
          <w:sz w:val="22"/>
          <w:szCs w:val="22"/>
        </w:rPr>
        <w:t xml:space="preserve">In addition to the conformity of priests, it is true that the churches became ‘Nazified’ without little resistance. Crucifixes </w:t>
      </w:r>
      <w:proofErr w:type="gramStart"/>
      <w:r w:rsidRPr="00AD5B5F">
        <w:rPr>
          <w:rFonts w:ascii="Bookman Old Style" w:eastAsia="+mn-ea" w:hAnsi="Bookman Old Style" w:cs="+mn-cs"/>
          <w:color w:val="1D9A78"/>
          <w:kern w:val="24"/>
          <w:sz w:val="22"/>
          <w:szCs w:val="22"/>
        </w:rPr>
        <w:t>were replaced</w:t>
      </w:r>
      <w:proofErr w:type="gramEnd"/>
      <w:r w:rsidRPr="00AD5B5F">
        <w:rPr>
          <w:rFonts w:ascii="Bookman Old Style" w:eastAsia="+mn-ea" w:hAnsi="Bookman Old Style" w:cs="+mn-cs"/>
          <w:color w:val="1D9A78"/>
          <w:kern w:val="24"/>
          <w:sz w:val="22"/>
          <w:szCs w:val="22"/>
        </w:rPr>
        <w:t xml:space="preserve"> with swastikas in many Protestant Churches, and many pastors accepted the removal of Jewish elements of the Bible in their Church. Furthermore, any priests or pastors that stepped out of line </w:t>
      </w:r>
      <w:proofErr w:type="gramStart"/>
      <w:r w:rsidRPr="00AD5B5F">
        <w:rPr>
          <w:rFonts w:ascii="Bookman Old Style" w:eastAsia="+mn-ea" w:hAnsi="Bookman Old Style" w:cs="+mn-cs"/>
          <w:color w:val="1D9A78"/>
          <w:kern w:val="24"/>
          <w:sz w:val="22"/>
          <w:szCs w:val="22"/>
        </w:rPr>
        <w:t>were quickly detained</w:t>
      </w:r>
      <w:proofErr w:type="gramEnd"/>
      <w:r w:rsidRPr="00AD5B5F">
        <w:rPr>
          <w:rFonts w:ascii="Bookman Old Style" w:eastAsia="+mn-ea" w:hAnsi="Bookman Old Style" w:cs="+mn-cs"/>
          <w:color w:val="1D9A78"/>
          <w:kern w:val="24"/>
          <w:sz w:val="22"/>
          <w:szCs w:val="22"/>
        </w:rPr>
        <w:t xml:space="preserve"> by the Nazi State. Important churchmen like </w:t>
      </w:r>
      <w:proofErr w:type="spellStart"/>
      <w:r w:rsidRPr="00AD5B5F">
        <w:rPr>
          <w:rFonts w:ascii="Bookman Old Style" w:eastAsia="+mn-ea" w:hAnsi="Bookman Old Style" w:cs="+mn-cs"/>
          <w:color w:val="1D9A78"/>
          <w:kern w:val="24"/>
          <w:sz w:val="22"/>
          <w:szCs w:val="22"/>
        </w:rPr>
        <w:t>Niemoller</w:t>
      </w:r>
      <w:proofErr w:type="spellEnd"/>
      <w:r w:rsidRPr="00AD5B5F">
        <w:rPr>
          <w:rFonts w:ascii="Bookman Old Style" w:eastAsia="+mn-ea" w:hAnsi="Bookman Old Style" w:cs="+mn-cs"/>
          <w:color w:val="1D9A78"/>
          <w:kern w:val="24"/>
          <w:sz w:val="22"/>
          <w:szCs w:val="22"/>
        </w:rPr>
        <w:t xml:space="preserve"> </w:t>
      </w:r>
      <w:proofErr w:type="gramStart"/>
      <w:r w:rsidRPr="00AD5B5F">
        <w:rPr>
          <w:rFonts w:ascii="Bookman Old Style" w:eastAsia="+mn-ea" w:hAnsi="Bookman Old Style" w:cs="+mn-cs"/>
          <w:color w:val="1D9A78"/>
          <w:kern w:val="24"/>
          <w:sz w:val="22"/>
          <w:szCs w:val="22"/>
        </w:rPr>
        <w:t>were sentenced</w:t>
      </w:r>
      <w:proofErr w:type="gramEnd"/>
      <w:r w:rsidRPr="00AD5B5F">
        <w:rPr>
          <w:rFonts w:ascii="Bookman Old Style" w:eastAsia="+mn-ea" w:hAnsi="Bookman Old Style" w:cs="+mn-cs"/>
          <w:color w:val="1D9A78"/>
          <w:kern w:val="24"/>
          <w:sz w:val="22"/>
          <w:szCs w:val="22"/>
        </w:rPr>
        <w:t xml:space="preserve"> to long prison sentences to silence them, and Priest Camps at concentration camps like Dachau were built to effectively detain unruly clergy members. </w:t>
      </w:r>
      <w:r w:rsidRPr="00AD5B5F">
        <w:rPr>
          <w:rFonts w:ascii="Bookman Old Style" w:eastAsia="+mn-ea" w:hAnsi="Bookman Old Style" w:cs="+mn-cs"/>
          <w:color w:val="1D6FA9"/>
          <w:kern w:val="24"/>
          <w:sz w:val="22"/>
          <w:szCs w:val="22"/>
        </w:rPr>
        <w:t xml:space="preserve">These points show that, not only did most churchmen conform to Nazi </w:t>
      </w:r>
      <w:proofErr w:type="gramStart"/>
      <w:r w:rsidRPr="00AD5B5F">
        <w:rPr>
          <w:rFonts w:ascii="Bookman Old Style" w:eastAsia="+mn-ea" w:hAnsi="Bookman Old Style" w:cs="+mn-cs"/>
          <w:color w:val="1D6FA9"/>
          <w:kern w:val="24"/>
          <w:sz w:val="22"/>
          <w:szCs w:val="22"/>
        </w:rPr>
        <w:t>ideas,</w:t>
      </w:r>
      <w:proofErr w:type="gramEnd"/>
      <w:r w:rsidRPr="00AD5B5F">
        <w:rPr>
          <w:rFonts w:ascii="Bookman Old Style" w:eastAsia="+mn-ea" w:hAnsi="Bookman Old Style" w:cs="+mn-cs"/>
          <w:color w:val="1D6FA9"/>
          <w:kern w:val="24"/>
          <w:sz w:val="22"/>
          <w:szCs w:val="22"/>
        </w:rPr>
        <w:t xml:space="preserve"> the state had the capacity to deal with the limited opposition it was tested with. Interpretation 2 </w:t>
      </w:r>
      <w:proofErr w:type="gramStart"/>
      <w:r w:rsidRPr="00AD5B5F">
        <w:rPr>
          <w:rFonts w:ascii="Bookman Old Style" w:eastAsia="+mn-ea" w:hAnsi="Bookman Old Style" w:cs="+mn-cs"/>
          <w:color w:val="1D6FA9"/>
          <w:kern w:val="24"/>
          <w:sz w:val="22"/>
          <w:szCs w:val="22"/>
        </w:rPr>
        <w:t>can be seen</w:t>
      </w:r>
      <w:proofErr w:type="gramEnd"/>
      <w:r w:rsidRPr="00AD5B5F">
        <w:rPr>
          <w:rFonts w:ascii="Bookman Old Style" w:eastAsia="+mn-ea" w:hAnsi="Bookman Old Style" w:cs="+mn-cs"/>
          <w:color w:val="1D6FA9"/>
          <w:kern w:val="24"/>
          <w:sz w:val="22"/>
          <w:szCs w:val="22"/>
        </w:rPr>
        <w:t xml:space="preserve"> as a strong argument therefore.</w:t>
      </w:r>
      <w:r w:rsidRPr="00AD5B5F">
        <w:rPr>
          <w:rFonts w:ascii="Bookman Old Style" w:eastAsia="+mn-ea" w:hAnsi="Bookman Old Style" w:cs="+mn-cs"/>
          <w:color w:val="1D6FA9"/>
          <w:kern w:val="24"/>
          <w:sz w:val="22"/>
          <w:szCs w:val="22"/>
        </w:rPr>
        <w:br/>
      </w:r>
      <w:r w:rsidRPr="00AD5B5F">
        <w:rPr>
          <w:rFonts w:ascii="Bookman Old Style" w:eastAsia="+mn-ea" w:hAnsi="Bookman Old Style" w:cs="+mn-cs"/>
          <w:color w:val="000000"/>
          <w:kern w:val="24"/>
          <w:sz w:val="22"/>
          <w:szCs w:val="22"/>
        </w:rPr>
        <w:t xml:space="preserve">  </w:t>
      </w:r>
      <w:r w:rsidRPr="00AD5B5F">
        <w:rPr>
          <w:rFonts w:ascii="Bookman Old Style" w:eastAsia="+mn-ea" w:hAnsi="Bookman Old Style" w:cs="+mn-cs"/>
          <w:color w:val="7030A0"/>
          <w:kern w:val="24"/>
          <w:sz w:val="22"/>
          <w:szCs w:val="22"/>
        </w:rPr>
        <w:t xml:space="preserve">However, Interpretation 2 can be </w:t>
      </w:r>
      <w:proofErr w:type="gramStart"/>
      <w:r w:rsidRPr="00AD5B5F">
        <w:rPr>
          <w:rFonts w:ascii="Bookman Old Style" w:eastAsia="+mn-ea" w:hAnsi="Bookman Old Style" w:cs="+mn-cs"/>
          <w:color w:val="7030A0"/>
          <w:kern w:val="24"/>
          <w:sz w:val="22"/>
          <w:szCs w:val="22"/>
        </w:rPr>
        <w:t>challenged</w:t>
      </w:r>
      <w:proofErr w:type="gramEnd"/>
      <w:r w:rsidRPr="00AD5B5F">
        <w:rPr>
          <w:rFonts w:ascii="Bookman Old Style" w:eastAsia="+mn-ea" w:hAnsi="Bookman Old Style" w:cs="+mn-cs"/>
          <w:color w:val="7030A0"/>
          <w:kern w:val="24"/>
          <w:sz w:val="22"/>
          <w:szCs w:val="22"/>
        </w:rPr>
        <w:t xml:space="preserve"> as there were some meaningful attempts to oppose Nazi laws. The Confessing Church, for example, drew hundreds of churchmen away from the Reich Church. This Church believed in being able to convert Jews to Christians, and kept Jewish scripture teachings in its Bible. Interpretation 2 </w:t>
      </w:r>
      <w:proofErr w:type="gramStart"/>
      <w:r w:rsidRPr="00AD5B5F">
        <w:rPr>
          <w:rFonts w:ascii="Bookman Old Style" w:eastAsia="+mn-ea" w:hAnsi="Bookman Old Style" w:cs="+mn-cs"/>
          <w:color w:val="7030A0"/>
          <w:kern w:val="24"/>
          <w:sz w:val="22"/>
          <w:szCs w:val="22"/>
        </w:rPr>
        <w:t>cannot be agreed with</w:t>
      </w:r>
      <w:proofErr w:type="gramEnd"/>
      <w:r w:rsidRPr="00AD5B5F">
        <w:rPr>
          <w:rFonts w:ascii="Bookman Old Style" w:eastAsia="+mn-ea" w:hAnsi="Bookman Old Style" w:cs="+mn-cs"/>
          <w:color w:val="7030A0"/>
          <w:kern w:val="24"/>
          <w:sz w:val="22"/>
          <w:szCs w:val="22"/>
        </w:rPr>
        <w:t xml:space="preserve"> completely, therefore.</w:t>
      </w:r>
    </w:p>
    <w:p w:rsidR="00AD5B5F" w:rsidRPr="00AD5B5F" w:rsidRDefault="00AD5B5F" w:rsidP="004A344F"/>
    <w:p w:rsidR="004A344F" w:rsidRDefault="00AD5B5F" w:rsidP="004A344F">
      <w:r>
        <w:t>PARAGRAPH 3:</w:t>
      </w:r>
    </w:p>
    <w:p w:rsidR="00AD5B5F" w:rsidRDefault="00AD5B5F" w:rsidP="004A344F"/>
    <w:p w:rsidR="00AD5B5F" w:rsidRDefault="00AD5B5F" w:rsidP="004A344F"/>
    <w:p w:rsidR="00AD5B5F" w:rsidRDefault="00AD5B5F" w:rsidP="004A344F">
      <w:r>
        <w:t>PARAGRAPH 4:</w:t>
      </w:r>
    </w:p>
    <w:p w:rsidR="00AD5B5F" w:rsidRDefault="00AD5B5F" w:rsidP="004A344F"/>
    <w:p w:rsidR="00AD5B5F" w:rsidRDefault="00AD5B5F" w:rsidP="004A344F"/>
    <w:p w:rsidR="00AD5B5F" w:rsidRDefault="00AD5B5F" w:rsidP="004A344F">
      <w:r>
        <w:t>CONCLUSION:</w:t>
      </w:r>
    </w:p>
    <w:p w:rsidR="00AD5B5F" w:rsidRDefault="00AD5B5F" w:rsidP="004A344F"/>
    <w:p w:rsidR="00AD5B5F" w:rsidRPr="00AD5B5F" w:rsidRDefault="00AD5B5F" w:rsidP="004A344F"/>
    <w:sectPr w:rsidR="00AD5B5F" w:rsidRPr="00AD5B5F" w:rsidSect="004A344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44F"/>
    <w:rsid w:val="003021BD"/>
    <w:rsid w:val="004A344F"/>
    <w:rsid w:val="007D226C"/>
    <w:rsid w:val="00AD5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93619"/>
  <w15:chartTrackingRefBased/>
  <w15:docId w15:val="{CC150614-E4AA-425C-83E4-B3B6D8D00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44F"/>
    <w:rPr>
      <w:rFonts w:ascii="Bookman Old Style" w:hAnsi="Bookman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344F"/>
    <w:rPr>
      <w:color w:val="0563C1" w:themeColor="hyperlink"/>
      <w:u w:val="single"/>
    </w:rPr>
  </w:style>
  <w:style w:type="table" w:styleId="TableGrid">
    <w:name w:val="Table Grid"/>
    <w:basedOn w:val="TableNormal"/>
    <w:uiPriority w:val="39"/>
    <w:rsid w:val="004A34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D5B5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7876317">
      <w:bodyDiv w:val="1"/>
      <w:marLeft w:val="0"/>
      <w:marRight w:val="0"/>
      <w:marTop w:val="0"/>
      <w:marBottom w:val="0"/>
      <w:divBdr>
        <w:top w:val="none" w:sz="0" w:space="0" w:color="auto"/>
        <w:left w:val="none" w:sz="0" w:space="0" w:color="auto"/>
        <w:bottom w:val="none" w:sz="0" w:space="0" w:color="auto"/>
        <w:right w:val="none" w:sz="0" w:space="0" w:color="auto"/>
      </w:divBdr>
    </w:div>
    <w:div w:id="1218083436">
      <w:bodyDiv w:val="1"/>
      <w:marLeft w:val="0"/>
      <w:marRight w:val="0"/>
      <w:marTop w:val="0"/>
      <w:marBottom w:val="0"/>
      <w:divBdr>
        <w:top w:val="none" w:sz="0" w:space="0" w:color="auto"/>
        <w:left w:val="none" w:sz="0" w:space="0" w:color="auto"/>
        <w:bottom w:val="none" w:sz="0" w:space="0" w:color="auto"/>
        <w:right w:val="none" w:sz="0" w:space="0" w:color="auto"/>
      </w:divBdr>
    </w:div>
    <w:div w:id="1691493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www.mrluptonhistory.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769</Words>
  <Characters>4386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The Forest Academy</Company>
  <LinksUpToDate>false</LinksUpToDate>
  <CharactersWithSpaces>5145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JLupton</dc:creator>
  <cp:keywords/>
  <dc:description/>
  <cp:lastModifiedBy>JLupton</cp:lastModifiedBy>
  <cp:revision>2</cp:revision>
  <dcterms:created xsi:type="dcterms:W3CDTF">2020-06-03T08:01:00Z</dcterms:created>
  <dcterms:modified xsi:type="dcterms:W3CDTF">2020-07-08T11:36:00Z</dcterms:modified>
</cp:coreProperties>
</file>